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4C" w:rsidRPr="00070DD3" w:rsidRDefault="0060084C" w:rsidP="0060084C">
      <w:pPr>
        <w:jc w:val="center"/>
        <w:rPr>
          <w:b/>
          <w:sz w:val="22"/>
          <w:szCs w:val="22"/>
        </w:rPr>
      </w:pPr>
    </w:p>
    <w:p w:rsidR="0060084C" w:rsidRPr="00070DD3" w:rsidRDefault="0018696E" w:rsidP="0060084C">
      <w:pPr>
        <w:jc w:val="center"/>
        <w:rPr>
          <w:b/>
          <w:sz w:val="22"/>
          <w:szCs w:val="22"/>
        </w:rPr>
      </w:pPr>
      <w:r w:rsidRPr="00070DD3">
        <w:rPr>
          <w:b/>
          <w:sz w:val="22"/>
          <w:szCs w:val="22"/>
        </w:rPr>
        <w:t>T</w:t>
      </w:r>
      <w:r w:rsidR="0060084C" w:rsidRPr="00070DD3">
        <w:rPr>
          <w:b/>
          <w:sz w:val="22"/>
          <w:szCs w:val="22"/>
        </w:rPr>
        <w:t>he Pforzheimer Honors College</w:t>
      </w:r>
    </w:p>
    <w:p w:rsidR="0060084C" w:rsidRPr="00070DD3" w:rsidRDefault="0060084C" w:rsidP="0060084C">
      <w:pPr>
        <w:rPr>
          <w:sz w:val="22"/>
          <w:szCs w:val="22"/>
        </w:rPr>
      </w:pPr>
    </w:p>
    <w:p w:rsidR="005D4AD6" w:rsidRPr="00070DD3" w:rsidRDefault="005D4AD6" w:rsidP="005D4AD6">
      <w:pPr>
        <w:ind w:left="360" w:right="-270"/>
        <w:rPr>
          <w:sz w:val="22"/>
          <w:szCs w:val="22"/>
        </w:rPr>
      </w:pPr>
      <w:r w:rsidRPr="00070DD3">
        <w:rPr>
          <w:sz w:val="22"/>
          <w:szCs w:val="22"/>
        </w:rPr>
        <w:t>The Honors College provides Pace students with a place to excel academically in a tight-knit and supportive community. The Pforzheimer Honors College offers high-achieving undergraduate scholars the opportunity to study with distinguished faculty mentors at a great university. The Honors College is a place where you can realize your greatest potential!</w:t>
      </w:r>
    </w:p>
    <w:p w:rsidR="005D4AD6" w:rsidRPr="00070DD3" w:rsidRDefault="005D4AD6" w:rsidP="005D4AD6">
      <w:pPr>
        <w:pStyle w:val="ListParagraph"/>
        <w:ind w:left="360" w:right="-270"/>
        <w:rPr>
          <w:rFonts w:eastAsia="Times New Roman" w:cs="Times New Roman"/>
          <w:sz w:val="22"/>
          <w:szCs w:val="22"/>
        </w:rPr>
      </w:pPr>
    </w:p>
    <w:p w:rsidR="0060084C" w:rsidRPr="00070DD3" w:rsidRDefault="0060084C" w:rsidP="00996481">
      <w:pPr>
        <w:pStyle w:val="ListParagraph"/>
        <w:ind w:left="360"/>
        <w:rPr>
          <w:rFonts w:eastAsia="Times New Roman" w:cs="Times New Roman"/>
          <w:b/>
          <w:sz w:val="22"/>
          <w:szCs w:val="22"/>
        </w:rPr>
      </w:pPr>
      <w:r w:rsidRPr="00070DD3">
        <w:rPr>
          <w:rFonts w:eastAsia="Times New Roman" w:cs="Times New Roman"/>
          <w:sz w:val="22"/>
          <w:szCs w:val="22"/>
        </w:rPr>
        <w:t xml:space="preserve">The Honors College is open to all majors within the Dyson College of Arts and Sciences, Lubin School of Business, Seidenberg School of Computer Science and Information Systems, School of Education, and the College of Health Professions. </w:t>
      </w:r>
      <w:r w:rsidR="00996481">
        <w:rPr>
          <w:rFonts w:eastAsia="Times New Roman" w:cs="Times New Roman"/>
          <w:sz w:val="22"/>
          <w:szCs w:val="22"/>
        </w:rPr>
        <w:br/>
      </w:r>
    </w:p>
    <w:p w:rsidR="0060084C" w:rsidRPr="00070DD3" w:rsidRDefault="0060084C" w:rsidP="0060084C">
      <w:pPr>
        <w:pStyle w:val="ListParagraph"/>
        <w:rPr>
          <w:rFonts w:eastAsia="Times New Roman" w:cs="Times New Roman"/>
          <w:b/>
          <w:sz w:val="22"/>
          <w:szCs w:val="22"/>
        </w:rPr>
      </w:pPr>
      <w:r w:rsidRPr="00070DD3">
        <w:rPr>
          <w:rFonts w:eastAsia="Times New Roman" w:cs="Times New Roman"/>
          <w:b/>
          <w:sz w:val="22"/>
          <w:szCs w:val="22"/>
        </w:rPr>
        <w:t>Community</w:t>
      </w:r>
    </w:p>
    <w:p w:rsidR="0060084C" w:rsidRPr="00070DD3" w:rsidRDefault="0060084C" w:rsidP="0060084C">
      <w:pPr>
        <w:pStyle w:val="ListParagraph"/>
        <w:numPr>
          <w:ilvl w:val="0"/>
          <w:numId w:val="1"/>
        </w:numPr>
        <w:rPr>
          <w:sz w:val="22"/>
          <w:szCs w:val="22"/>
        </w:rPr>
      </w:pPr>
      <w:r w:rsidRPr="00070DD3">
        <w:rPr>
          <w:rFonts w:eastAsia="Times New Roman" w:cs="Times New Roman"/>
          <w:sz w:val="22"/>
          <w:szCs w:val="22"/>
        </w:rPr>
        <w:t xml:space="preserve">The Pforzheimer Honors College is a highly esteemed community of talented undergraduate scholars studying under the distinguished faculty of a great university. </w:t>
      </w:r>
    </w:p>
    <w:p w:rsidR="0060084C" w:rsidRPr="00070DD3" w:rsidRDefault="0060084C" w:rsidP="0060084C">
      <w:pPr>
        <w:pStyle w:val="ListParagraph"/>
        <w:numPr>
          <w:ilvl w:val="0"/>
          <w:numId w:val="1"/>
        </w:numPr>
        <w:rPr>
          <w:sz w:val="22"/>
          <w:szCs w:val="22"/>
        </w:rPr>
      </w:pPr>
      <w:r w:rsidRPr="00070DD3">
        <w:rPr>
          <w:rFonts w:eastAsia="Times New Roman" w:cs="Times New Roman"/>
          <w:sz w:val="22"/>
          <w:szCs w:val="22"/>
        </w:rPr>
        <w:t xml:space="preserve">Honors Students have the opportunity to live with their peers in </w:t>
      </w:r>
      <w:r w:rsidR="00F7203F" w:rsidRPr="00070DD3">
        <w:rPr>
          <w:rFonts w:eastAsia="Times New Roman" w:cs="Times New Roman"/>
          <w:sz w:val="22"/>
          <w:szCs w:val="22"/>
        </w:rPr>
        <w:t>the Honors FIG</w:t>
      </w:r>
      <w:r w:rsidRPr="00070DD3">
        <w:rPr>
          <w:rFonts w:eastAsia="Times New Roman" w:cs="Times New Roman"/>
          <w:sz w:val="22"/>
          <w:szCs w:val="22"/>
        </w:rPr>
        <w:t xml:space="preserve"> in Alumni Hall.</w:t>
      </w:r>
    </w:p>
    <w:p w:rsidR="0060084C" w:rsidRPr="00070DD3" w:rsidRDefault="0060084C" w:rsidP="0060084C">
      <w:pPr>
        <w:pStyle w:val="ListParagraph"/>
        <w:numPr>
          <w:ilvl w:val="0"/>
          <w:numId w:val="1"/>
        </w:numPr>
        <w:rPr>
          <w:sz w:val="22"/>
          <w:szCs w:val="22"/>
        </w:rPr>
      </w:pPr>
      <w:r w:rsidRPr="00070DD3">
        <w:rPr>
          <w:rFonts w:eastAsia="Times New Roman" w:cs="Times New Roman"/>
          <w:sz w:val="22"/>
          <w:szCs w:val="22"/>
        </w:rPr>
        <w:t xml:space="preserve">Incoming Honors students are assigned an upper division student as a mentor </w:t>
      </w:r>
    </w:p>
    <w:p w:rsidR="0060084C" w:rsidRPr="00070DD3" w:rsidRDefault="0060084C" w:rsidP="0060084C">
      <w:pPr>
        <w:pStyle w:val="ListParagraph"/>
        <w:numPr>
          <w:ilvl w:val="0"/>
          <w:numId w:val="1"/>
        </w:numPr>
        <w:rPr>
          <w:sz w:val="22"/>
          <w:szCs w:val="22"/>
        </w:rPr>
      </w:pPr>
      <w:r w:rsidRPr="00070DD3">
        <w:rPr>
          <w:rFonts w:eastAsia="Times New Roman" w:cs="Times New Roman"/>
          <w:sz w:val="22"/>
          <w:szCs w:val="22"/>
        </w:rPr>
        <w:t>Honors Students enjoy early housing registration privileges.</w:t>
      </w:r>
    </w:p>
    <w:p w:rsidR="0060084C" w:rsidRPr="00070DD3" w:rsidRDefault="0060084C" w:rsidP="0060084C">
      <w:pPr>
        <w:pStyle w:val="ListParagraph"/>
        <w:numPr>
          <w:ilvl w:val="0"/>
          <w:numId w:val="1"/>
        </w:numPr>
        <w:rPr>
          <w:b/>
          <w:sz w:val="22"/>
          <w:szCs w:val="22"/>
        </w:rPr>
      </w:pPr>
      <w:r w:rsidRPr="00070DD3">
        <w:rPr>
          <w:rFonts w:eastAsia="Times New Roman" w:cs="Times New Roman"/>
          <w:sz w:val="22"/>
          <w:szCs w:val="22"/>
        </w:rPr>
        <w:t xml:space="preserve">The Honors College offers numerous intellectual, cultural, and social events for our students to enjoy, and as a way to build community. These events include: themed movie nights, Broadway shows, museum trips, weekly cookies and conversations, holiday parties, walking tours in Westchester and New York City, and more. </w:t>
      </w:r>
    </w:p>
    <w:p w:rsidR="0060084C" w:rsidRPr="00070DD3" w:rsidRDefault="0060084C" w:rsidP="0060084C">
      <w:pPr>
        <w:pStyle w:val="ListParagraph"/>
        <w:rPr>
          <w:b/>
          <w:sz w:val="22"/>
          <w:szCs w:val="22"/>
        </w:rPr>
      </w:pPr>
    </w:p>
    <w:p w:rsidR="0060084C" w:rsidRPr="00070DD3" w:rsidRDefault="0060084C" w:rsidP="0060084C">
      <w:pPr>
        <w:pStyle w:val="ListParagraph"/>
        <w:rPr>
          <w:b/>
          <w:sz w:val="22"/>
          <w:szCs w:val="22"/>
        </w:rPr>
      </w:pPr>
      <w:r w:rsidRPr="00070DD3">
        <w:rPr>
          <w:b/>
          <w:sz w:val="22"/>
          <w:szCs w:val="22"/>
        </w:rPr>
        <w:t>Academics</w:t>
      </w:r>
    </w:p>
    <w:p w:rsidR="0060084C" w:rsidRPr="00070DD3" w:rsidRDefault="0060084C" w:rsidP="0060084C">
      <w:pPr>
        <w:pStyle w:val="ListParagraph"/>
        <w:numPr>
          <w:ilvl w:val="0"/>
          <w:numId w:val="1"/>
        </w:numPr>
        <w:rPr>
          <w:sz w:val="22"/>
          <w:szCs w:val="22"/>
        </w:rPr>
      </w:pPr>
      <w:r w:rsidRPr="00070DD3">
        <w:rPr>
          <w:rFonts w:eastAsia="Times New Roman" w:cs="Times New Roman"/>
          <w:sz w:val="22"/>
          <w:szCs w:val="22"/>
        </w:rPr>
        <w:t>The Honors College is a place to excel throughout your four years at Pace in the company of engaged students and dedicated faculty.</w:t>
      </w:r>
    </w:p>
    <w:p w:rsidR="0060084C" w:rsidRPr="00070DD3" w:rsidRDefault="0018696E" w:rsidP="0060084C">
      <w:pPr>
        <w:pStyle w:val="ListParagraph"/>
        <w:numPr>
          <w:ilvl w:val="0"/>
          <w:numId w:val="1"/>
        </w:numPr>
        <w:rPr>
          <w:rFonts w:eastAsia="Times New Roman" w:cs="Times New Roman"/>
          <w:color w:val="000000"/>
          <w:sz w:val="22"/>
          <w:szCs w:val="22"/>
        </w:rPr>
      </w:pPr>
      <w:r w:rsidRPr="00070DD3">
        <w:rPr>
          <w:rFonts w:eastAsia="Times New Roman" w:cs="Times New Roman"/>
          <w:color w:val="000000"/>
          <w:sz w:val="22"/>
          <w:szCs w:val="22"/>
        </w:rPr>
        <w:t>C</w:t>
      </w:r>
      <w:r w:rsidR="0060084C" w:rsidRPr="00070DD3">
        <w:rPr>
          <w:rFonts w:eastAsia="Times New Roman" w:cs="Times New Roman"/>
          <w:color w:val="000000"/>
          <w:sz w:val="22"/>
          <w:szCs w:val="22"/>
        </w:rPr>
        <w:t>lasses are innovative and engaging, and they require different work rather than merely more work; our professors are the best teachers at Pace.</w:t>
      </w:r>
    </w:p>
    <w:p w:rsidR="0060084C" w:rsidRPr="00070DD3" w:rsidRDefault="0060084C" w:rsidP="0060084C">
      <w:pPr>
        <w:pStyle w:val="ListParagraph"/>
        <w:numPr>
          <w:ilvl w:val="0"/>
          <w:numId w:val="1"/>
        </w:numPr>
        <w:spacing w:before="100" w:beforeAutospacing="1" w:after="100" w:afterAutospacing="1"/>
        <w:rPr>
          <w:rFonts w:cs="Times New Roman"/>
          <w:sz w:val="22"/>
          <w:szCs w:val="22"/>
        </w:rPr>
      </w:pPr>
      <w:r w:rsidRPr="00070DD3">
        <w:rPr>
          <w:rFonts w:cs="Times New Roman"/>
          <w:sz w:val="22"/>
          <w:szCs w:val="22"/>
        </w:rPr>
        <w:t>In addition to regular faculty advisors, Honors students receive specialized advisement</w:t>
      </w:r>
      <w:r w:rsidR="0018696E" w:rsidRPr="00070DD3">
        <w:rPr>
          <w:rFonts w:cs="Times New Roman"/>
          <w:sz w:val="22"/>
          <w:szCs w:val="22"/>
        </w:rPr>
        <w:t xml:space="preserve"> in the Honors College who work together </w:t>
      </w:r>
      <w:r w:rsidRPr="00070DD3">
        <w:rPr>
          <w:rFonts w:cs="Times New Roman"/>
          <w:sz w:val="22"/>
          <w:szCs w:val="22"/>
        </w:rPr>
        <w:t>to help plan their individual path through their four years at Pace.</w:t>
      </w:r>
    </w:p>
    <w:p w:rsidR="0060084C" w:rsidRPr="00070DD3" w:rsidRDefault="0060084C" w:rsidP="0060084C">
      <w:pPr>
        <w:pStyle w:val="ListParagraph"/>
        <w:numPr>
          <w:ilvl w:val="0"/>
          <w:numId w:val="1"/>
        </w:numPr>
        <w:spacing w:before="100" w:beforeAutospacing="1" w:after="100" w:afterAutospacing="1"/>
        <w:rPr>
          <w:rFonts w:cs="Times New Roman"/>
          <w:sz w:val="22"/>
          <w:szCs w:val="22"/>
        </w:rPr>
      </w:pPr>
      <w:r w:rsidRPr="00070DD3">
        <w:rPr>
          <w:rFonts w:cs="Times New Roman"/>
          <w:sz w:val="22"/>
          <w:szCs w:val="22"/>
        </w:rPr>
        <w:t>Honor Students enjoy priority registration privileges when enrolling in classes.</w:t>
      </w:r>
    </w:p>
    <w:p w:rsidR="0060084C" w:rsidRPr="00070DD3" w:rsidRDefault="0060084C" w:rsidP="0060084C">
      <w:pPr>
        <w:pStyle w:val="ListParagraph"/>
        <w:spacing w:before="100" w:beforeAutospacing="1" w:after="100" w:afterAutospacing="1"/>
        <w:rPr>
          <w:sz w:val="22"/>
          <w:szCs w:val="22"/>
        </w:rPr>
      </w:pPr>
    </w:p>
    <w:p w:rsidR="0060084C" w:rsidRPr="00070DD3" w:rsidRDefault="0060084C" w:rsidP="0060084C">
      <w:pPr>
        <w:pStyle w:val="ListParagraph"/>
        <w:rPr>
          <w:b/>
          <w:sz w:val="22"/>
          <w:szCs w:val="22"/>
        </w:rPr>
      </w:pPr>
      <w:r w:rsidRPr="00070DD3">
        <w:rPr>
          <w:b/>
          <w:sz w:val="22"/>
          <w:szCs w:val="22"/>
        </w:rPr>
        <w:t>Research</w:t>
      </w:r>
    </w:p>
    <w:p w:rsidR="0060084C" w:rsidRPr="00070DD3" w:rsidRDefault="0060084C" w:rsidP="0060084C">
      <w:pPr>
        <w:pStyle w:val="ListParagraph"/>
        <w:numPr>
          <w:ilvl w:val="0"/>
          <w:numId w:val="1"/>
        </w:numPr>
        <w:rPr>
          <w:sz w:val="22"/>
          <w:szCs w:val="22"/>
        </w:rPr>
      </w:pPr>
      <w:r w:rsidRPr="00070DD3">
        <w:rPr>
          <w:rFonts w:cs="Times New Roman"/>
          <w:sz w:val="22"/>
          <w:szCs w:val="22"/>
        </w:rPr>
        <w:t>By completing a</w:t>
      </w:r>
      <w:r w:rsidR="0018696E" w:rsidRPr="00070DD3">
        <w:rPr>
          <w:rFonts w:cs="Times New Roman"/>
          <w:sz w:val="22"/>
          <w:szCs w:val="22"/>
        </w:rPr>
        <w:t>n Honors</w:t>
      </w:r>
      <w:r w:rsidRPr="00070DD3">
        <w:rPr>
          <w:rFonts w:cs="Times New Roman"/>
          <w:sz w:val="22"/>
          <w:szCs w:val="22"/>
        </w:rPr>
        <w:t xml:space="preserve"> thesis,</w:t>
      </w:r>
      <w:r w:rsidR="0018696E" w:rsidRPr="00070DD3">
        <w:rPr>
          <w:rFonts w:cs="Times New Roman"/>
          <w:sz w:val="22"/>
          <w:szCs w:val="22"/>
        </w:rPr>
        <w:t xml:space="preserve"> s</w:t>
      </w:r>
      <w:r w:rsidRPr="00070DD3">
        <w:rPr>
          <w:rFonts w:cs="Times New Roman"/>
          <w:sz w:val="22"/>
          <w:szCs w:val="22"/>
        </w:rPr>
        <w:t xml:space="preserve">tudents engage in the type of advanced research typically reserved for graduate students. </w:t>
      </w:r>
    </w:p>
    <w:p w:rsidR="0060084C" w:rsidRPr="00070DD3" w:rsidRDefault="0060084C" w:rsidP="0060084C">
      <w:pPr>
        <w:pStyle w:val="ListParagraph"/>
        <w:numPr>
          <w:ilvl w:val="0"/>
          <w:numId w:val="1"/>
        </w:numPr>
        <w:rPr>
          <w:sz w:val="22"/>
          <w:szCs w:val="22"/>
        </w:rPr>
      </w:pPr>
      <w:r w:rsidRPr="00070DD3">
        <w:rPr>
          <w:rFonts w:cs="Times New Roman"/>
          <w:sz w:val="22"/>
          <w:szCs w:val="22"/>
        </w:rPr>
        <w:t xml:space="preserve">Honors College students are eligible to apply for $1,000 for their thesis research. </w:t>
      </w:r>
    </w:p>
    <w:p w:rsidR="0060084C" w:rsidRPr="00070DD3" w:rsidRDefault="0060084C" w:rsidP="0060084C">
      <w:pPr>
        <w:pStyle w:val="ListParagraph"/>
        <w:numPr>
          <w:ilvl w:val="0"/>
          <w:numId w:val="1"/>
        </w:numPr>
        <w:rPr>
          <w:sz w:val="22"/>
          <w:szCs w:val="22"/>
        </w:rPr>
      </w:pPr>
      <w:r w:rsidRPr="00070DD3">
        <w:rPr>
          <w:rFonts w:cs="Times New Roman"/>
          <w:sz w:val="22"/>
          <w:szCs w:val="22"/>
        </w:rPr>
        <w:t xml:space="preserve">The Honors research and thesis experience is a building block for advanced study, future scholarship awards for research, and job placement. </w:t>
      </w:r>
    </w:p>
    <w:p w:rsidR="0060084C" w:rsidRPr="00070DD3" w:rsidRDefault="0060084C" w:rsidP="0060084C">
      <w:pPr>
        <w:ind w:left="360"/>
        <w:rPr>
          <w:sz w:val="22"/>
          <w:szCs w:val="22"/>
        </w:rPr>
      </w:pPr>
    </w:p>
    <w:p w:rsidR="0060084C" w:rsidRPr="00070DD3" w:rsidRDefault="0060084C" w:rsidP="0060084C">
      <w:pPr>
        <w:ind w:left="720"/>
        <w:rPr>
          <w:sz w:val="22"/>
          <w:szCs w:val="22"/>
        </w:rPr>
      </w:pPr>
      <w:r w:rsidRPr="00070DD3">
        <w:rPr>
          <w:b/>
          <w:sz w:val="22"/>
          <w:szCs w:val="22"/>
        </w:rPr>
        <w:t>Prestigious Fellowships and Scholarships</w:t>
      </w:r>
    </w:p>
    <w:p w:rsidR="005444C0" w:rsidRPr="00C71DD4" w:rsidRDefault="0060084C" w:rsidP="0018696E">
      <w:pPr>
        <w:pStyle w:val="ListParagraph"/>
        <w:numPr>
          <w:ilvl w:val="0"/>
          <w:numId w:val="1"/>
        </w:numPr>
        <w:rPr>
          <w:sz w:val="22"/>
          <w:szCs w:val="22"/>
        </w:rPr>
      </w:pPr>
      <w:r w:rsidRPr="00441A02">
        <w:rPr>
          <w:rFonts w:cs="Times New Roman"/>
          <w:sz w:val="22"/>
          <w:szCs w:val="22"/>
        </w:rPr>
        <w:t>Honors Students are carefully supported as they apply for national scholarships, fellowships,</w:t>
      </w:r>
      <w:r w:rsidR="00070DD3" w:rsidRPr="00441A02">
        <w:rPr>
          <w:rFonts w:cs="Times New Roman"/>
          <w:sz w:val="22"/>
          <w:szCs w:val="22"/>
        </w:rPr>
        <w:t xml:space="preserve"> and funded research programs including Fulbright, Gilman, Watson, Goldwater, Truman, and NSF awards.</w:t>
      </w:r>
    </w:p>
    <w:tbl>
      <w:tblPr>
        <w:tblStyle w:val="TableGrid"/>
        <w:tblpPr w:leftFromText="180" w:rightFromText="180" w:vertAnchor="text" w:horzAnchor="margin" w:tblpY="164"/>
        <w:tblW w:w="10795" w:type="dxa"/>
        <w:tblLook w:val="04A0" w:firstRow="1" w:lastRow="0" w:firstColumn="1" w:lastColumn="0" w:noHBand="0" w:noVBand="1"/>
      </w:tblPr>
      <w:tblGrid>
        <w:gridCol w:w="5845"/>
        <w:gridCol w:w="4950"/>
      </w:tblGrid>
      <w:tr w:rsidR="00CD6023" w:rsidRPr="00070DD3" w:rsidTr="00CD6023">
        <w:trPr>
          <w:trHeight w:val="3227"/>
        </w:trPr>
        <w:tc>
          <w:tcPr>
            <w:tcW w:w="5845" w:type="dxa"/>
            <w:shd w:val="clear" w:color="auto" w:fill="FFF2CC" w:themeFill="accent4" w:themeFillTint="33"/>
          </w:tcPr>
          <w:p w:rsidR="00CD6023" w:rsidRPr="008C3385" w:rsidRDefault="00CD6023" w:rsidP="00CD6023">
            <w:pPr>
              <w:tabs>
                <w:tab w:val="left" w:pos="360"/>
              </w:tabs>
              <w:rPr>
                <w:b/>
                <w:sz w:val="22"/>
                <w:szCs w:val="22"/>
              </w:rPr>
            </w:pPr>
            <w:r w:rsidRPr="008C3385">
              <w:rPr>
                <w:b/>
                <w:sz w:val="22"/>
                <w:szCs w:val="22"/>
              </w:rPr>
              <w:t>Eligibility:</w:t>
            </w:r>
          </w:p>
          <w:p w:rsidR="00CD6023" w:rsidRDefault="00CD6023" w:rsidP="00CD6023">
            <w:pPr>
              <w:tabs>
                <w:tab w:val="left" w:pos="360"/>
              </w:tabs>
              <w:rPr>
                <w:sz w:val="22"/>
                <w:szCs w:val="22"/>
              </w:rPr>
            </w:pPr>
            <w:r w:rsidRPr="00070DD3">
              <w:rPr>
                <w:sz w:val="22"/>
                <w:szCs w:val="22"/>
              </w:rPr>
              <w:t xml:space="preserve">Entering first-year students must have a </w:t>
            </w:r>
            <w:r w:rsidRPr="00A76DFB">
              <w:rPr>
                <w:b/>
                <w:sz w:val="22"/>
                <w:szCs w:val="22"/>
              </w:rPr>
              <w:t>minimum</w:t>
            </w:r>
            <w:r w:rsidRPr="00070DD3">
              <w:rPr>
                <w:sz w:val="22"/>
                <w:szCs w:val="22"/>
              </w:rPr>
              <w:t xml:space="preserve"> high school average of 90, and a </w:t>
            </w:r>
            <w:r w:rsidRPr="00580FA4">
              <w:rPr>
                <w:b/>
                <w:sz w:val="22"/>
                <w:szCs w:val="22"/>
              </w:rPr>
              <w:t xml:space="preserve">minimum </w:t>
            </w:r>
            <w:r w:rsidRPr="00070DD3">
              <w:rPr>
                <w:sz w:val="22"/>
                <w:szCs w:val="22"/>
              </w:rPr>
              <w:t>ACT score of 27, or a</w:t>
            </w:r>
            <w:r w:rsidRPr="00580FA4">
              <w:rPr>
                <w:b/>
                <w:sz w:val="22"/>
                <w:szCs w:val="22"/>
              </w:rPr>
              <w:t xml:space="preserve"> minimum</w:t>
            </w:r>
            <w:r w:rsidRPr="00070DD3">
              <w:rPr>
                <w:sz w:val="22"/>
                <w:szCs w:val="22"/>
              </w:rPr>
              <w:t xml:space="preserve"> combined SAT score of 1270 (</w:t>
            </w:r>
            <w:r w:rsidRPr="00580FA4">
              <w:rPr>
                <w:b/>
                <w:sz w:val="22"/>
                <w:szCs w:val="22"/>
              </w:rPr>
              <w:t>minimum</w:t>
            </w:r>
            <w:r w:rsidRPr="00070DD3">
              <w:rPr>
                <w:sz w:val="22"/>
                <w:szCs w:val="22"/>
              </w:rPr>
              <w:t xml:space="preserve"> 570 on the verbal section and 610 on the ma</w:t>
            </w:r>
            <w:r>
              <w:rPr>
                <w:sz w:val="22"/>
                <w:szCs w:val="22"/>
              </w:rPr>
              <w:t>th section) on the new SAT exam</w:t>
            </w:r>
            <w:r w:rsidRPr="00070DD3">
              <w:rPr>
                <w:sz w:val="22"/>
                <w:szCs w:val="22"/>
              </w:rPr>
              <w:t>.</w:t>
            </w:r>
          </w:p>
          <w:p w:rsidR="00CD6023" w:rsidRPr="00070DD3" w:rsidRDefault="00CD6023" w:rsidP="00CD6023">
            <w:pPr>
              <w:tabs>
                <w:tab w:val="left" w:pos="360"/>
              </w:tabs>
              <w:rPr>
                <w:sz w:val="22"/>
                <w:szCs w:val="22"/>
              </w:rPr>
            </w:pPr>
            <w:r>
              <w:rPr>
                <w:sz w:val="22"/>
                <w:szCs w:val="22"/>
              </w:rPr>
              <w:br/>
              <w:t>For those considering test optional, a holistic review of the application will be completed.  A minimum gpa of 90 is still required.</w:t>
            </w:r>
            <w:r>
              <w:rPr>
                <w:sz w:val="22"/>
                <w:szCs w:val="22"/>
              </w:rPr>
              <w:br/>
            </w:r>
          </w:p>
          <w:p w:rsidR="00CD6023" w:rsidRDefault="00CD6023" w:rsidP="00CD6023">
            <w:pPr>
              <w:ind w:right="-810"/>
              <w:rPr>
                <w:sz w:val="22"/>
                <w:szCs w:val="22"/>
              </w:rPr>
            </w:pPr>
            <w:r>
              <w:rPr>
                <w:sz w:val="22"/>
                <w:szCs w:val="22"/>
              </w:rPr>
              <w:t>S</w:t>
            </w:r>
            <w:r w:rsidRPr="00070DD3">
              <w:rPr>
                <w:sz w:val="22"/>
                <w:szCs w:val="22"/>
              </w:rPr>
              <w:t>tudents who have completed 30-45</w:t>
            </w:r>
            <w:r>
              <w:rPr>
                <w:sz w:val="22"/>
                <w:szCs w:val="22"/>
              </w:rPr>
              <w:t xml:space="preserve"> </w:t>
            </w:r>
            <w:r>
              <w:rPr>
                <w:color w:val="FF0000"/>
                <w:sz w:val="22"/>
                <w:szCs w:val="22"/>
              </w:rPr>
              <w:t>credits</w:t>
            </w:r>
            <w:r w:rsidRPr="00070DD3">
              <w:rPr>
                <w:sz w:val="22"/>
                <w:szCs w:val="22"/>
              </w:rPr>
              <w:t xml:space="preserve"> and have achieved </w:t>
            </w:r>
          </w:p>
          <w:p w:rsidR="00CD6023" w:rsidRPr="00070DD3" w:rsidRDefault="00CD6023" w:rsidP="00996481">
            <w:pPr>
              <w:ind w:right="-810"/>
              <w:rPr>
                <w:sz w:val="22"/>
                <w:szCs w:val="22"/>
              </w:rPr>
            </w:pPr>
            <w:proofErr w:type="gramStart"/>
            <w:r w:rsidRPr="00070DD3">
              <w:rPr>
                <w:sz w:val="22"/>
                <w:szCs w:val="22"/>
              </w:rPr>
              <w:t>a</w:t>
            </w:r>
            <w:proofErr w:type="gramEnd"/>
            <w:r w:rsidRPr="00070DD3">
              <w:rPr>
                <w:sz w:val="22"/>
                <w:szCs w:val="22"/>
              </w:rPr>
              <w:t xml:space="preserve"> 3.5 average are also considered for</w:t>
            </w:r>
            <w:r>
              <w:rPr>
                <w:sz w:val="22"/>
                <w:szCs w:val="22"/>
              </w:rPr>
              <w:t xml:space="preserve">  </w:t>
            </w:r>
            <w:r w:rsidRPr="00E03977">
              <w:rPr>
                <w:color w:val="FF0000"/>
                <w:sz w:val="22"/>
                <w:szCs w:val="22"/>
              </w:rPr>
              <w:t>transfer</w:t>
            </w:r>
            <w:r w:rsidRPr="00070DD3">
              <w:rPr>
                <w:sz w:val="22"/>
                <w:szCs w:val="22"/>
              </w:rPr>
              <w:t xml:space="preserve"> admission.</w:t>
            </w:r>
          </w:p>
        </w:tc>
        <w:tc>
          <w:tcPr>
            <w:tcW w:w="4950" w:type="dxa"/>
            <w:shd w:val="clear" w:color="auto" w:fill="D9E2F3" w:themeFill="accent1" w:themeFillTint="33"/>
          </w:tcPr>
          <w:p w:rsidR="00A76DFB" w:rsidRDefault="00A76DFB" w:rsidP="00CD6023">
            <w:pPr>
              <w:ind w:right="-810"/>
              <w:rPr>
                <w:b/>
                <w:sz w:val="22"/>
                <w:szCs w:val="22"/>
              </w:rPr>
            </w:pPr>
          </w:p>
          <w:p w:rsidR="00CD6023" w:rsidRDefault="00CD6023" w:rsidP="00CD6023">
            <w:pPr>
              <w:ind w:right="-810"/>
              <w:rPr>
                <w:b/>
                <w:sz w:val="22"/>
                <w:szCs w:val="22"/>
              </w:rPr>
            </w:pPr>
            <w:r w:rsidRPr="008C3385">
              <w:rPr>
                <w:b/>
                <w:sz w:val="22"/>
                <w:szCs w:val="22"/>
              </w:rPr>
              <w:t>Contact us:</w:t>
            </w:r>
          </w:p>
          <w:p w:rsidR="00A76DFB" w:rsidRPr="008C3385" w:rsidRDefault="00A76DFB" w:rsidP="00CD6023">
            <w:pPr>
              <w:ind w:right="-810"/>
              <w:rPr>
                <w:b/>
                <w:sz w:val="22"/>
                <w:szCs w:val="22"/>
              </w:rPr>
            </w:pPr>
          </w:p>
          <w:p w:rsidR="00CD6023" w:rsidRPr="00070DD3" w:rsidRDefault="00CD6023" w:rsidP="00CD6023">
            <w:pPr>
              <w:ind w:right="-810"/>
              <w:rPr>
                <w:sz w:val="22"/>
                <w:szCs w:val="22"/>
              </w:rPr>
            </w:pPr>
            <w:r w:rsidRPr="00070DD3">
              <w:rPr>
                <w:sz w:val="22"/>
                <w:szCs w:val="22"/>
              </w:rPr>
              <w:t>Pforzheimer Honors College PLV</w:t>
            </w:r>
          </w:p>
          <w:p w:rsidR="00CD6023" w:rsidRPr="00070DD3" w:rsidRDefault="00CD6023" w:rsidP="00CD6023">
            <w:pPr>
              <w:ind w:right="-810"/>
              <w:rPr>
                <w:sz w:val="22"/>
                <w:szCs w:val="22"/>
              </w:rPr>
            </w:pPr>
            <w:r w:rsidRPr="00070DD3">
              <w:rPr>
                <w:sz w:val="22"/>
                <w:szCs w:val="22"/>
              </w:rPr>
              <w:t>Kessel Student Center. Suite 200</w:t>
            </w:r>
          </w:p>
          <w:p w:rsidR="00CD6023" w:rsidRPr="00070DD3" w:rsidRDefault="00CD6023" w:rsidP="00CD6023">
            <w:pPr>
              <w:ind w:right="-810"/>
              <w:rPr>
                <w:sz w:val="22"/>
                <w:szCs w:val="22"/>
              </w:rPr>
            </w:pPr>
            <w:r w:rsidRPr="00070DD3">
              <w:rPr>
                <w:sz w:val="22"/>
                <w:szCs w:val="22"/>
              </w:rPr>
              <w:t>Phone:  (914) 773-3848</w:t>
            </w:r>
          </w:p>
          <w:p w:rsidR="00CD6023" w:rsidRPr="00070DD3" w:rsidRDefault="00CD6023" w:rsidP="00CD6023">
            <w:pPr>
              <w:ind w:right="-810"/>
              <w:rPr>
                <w:rStyle w:val="Hyperlink"/>
                <w:sz w:val="22"/>
                <w:szCs w:val="22"/>
              </w:rPr>
            </w:pPr>
            <w:r w:rsidRPr="00070DD3">
              <w:rPr>
                <w:sz w:val="22"/>
                <w:szCs w:val="22"/>
              </w:rPr>
              <w:t xml:space="preserve">Email: </w:t>
            </w:r>
            <w:hyperlink r:id="rId5" w:history="1">
              <w:r w:rsidRPr="00EB5FFB">
                <w:rPr>
                  <w:rStyle w:val="Hyperlink"/>
                </w:rPr>
                <w:t>Honors_PLV@pace.edu</w:t>
              </w:r>
            </w:hyperlink>
            <w:r>
              <w:t xml:space="preserve">  </w:t>
            </w:r>
          </w:p>
          <w:p w:rsidR="00CD6023" w:rsidRPr="00070DD3" w:rsidRDefault="00CD6023" w:rsidP="00CD6023">
            <w:pPr>
              <w:ind w:right="-810"/>
              <w:rPr>
                <w:sz w:val="22"/>
                <w:szCs w:val="22"/>
              </w:rPr>
            </w:pPr>
            <w:r>
              <w:rPr>
                <w:sz w:val="22"/>
                <w:szCs w:val="22"/>
              </w:rPr>
              <w:t>www.pace.edu/honors-college</w:t>
            </w:r>
          </w:p>
          <w:p w:rsidR="00CD6023" w:rsidRPr="00070DD3" w:rsidRDefault="00CD6023" w:rsidP="00CD6023">
            <w:pPr>
              <w:ind w:right="-810"/>
              <w:rPr>
                <w:sz w:val="22"/>
                <w:szCs w:val="22"/>
              </w:rPr>
            </w:pPr>
            <w:r w:rsidRPr="00070DD3">
              <w:rPr>
                <w:sz w:val="22"/>
                <w:szCs w:val="22"/>
              </w:rPr>
              <w:t>Instagram: @pacehonorsplv</w:t>
            </w:r>
          </w:p>
          <w:p w:rsidR="00CD6023" w:rsidRPr="00070DD3" w:rsidRDefault="00CD6023" w:rsidP="00CD6023">
            <w:pPr>
              <w:ind w:right="-810"/>
              <w:rPr>
                <w:sz w:val="22"/>
                <w:szCs w:val="22"/>
              </w:rPr>
            </w:pPr>
            <w:r w:rsidRPr="00070DD3">
              <w:rPr>
                <w:sz w:val="22"/>
                <w:szCs w:val="22"/>
              </w:rPr>
              <w:t>Facebook: Pforzheimer Honors College PLV</w:t>
            </w:r>
          </w:p>
        </w:tc>
      </w:tr>
    </w:tbl>
    <w:p w:rsidR="00C71DD4" w:rsidRPr="00441A02" w:rsidRDefault="00C71DD4" w:rsidP="00C71DD4">
      <w:pPr>
        <w:pStyle w:val="ListParagraph"/>
        <w:rPr>
          <w:sz w:val="22"/>
          <w:szCs w:val="22"/>
        </w:rPr>
      </w:pPr>
    </w:p>
    <w:p w:rsidR="00441A02" w:rsidRPr="00441A02" w:rsidRDefault="00441A02" w:rsidP="00441A02">
      <w:pPr>
        <w:pStyle w:val="ListParagraph"/>
        <w:rPr>
          <w:sz w:val="22"/>
          <w:szCs w:val="22"/>
        </w:rPr>
      </w:pPr>
    </w:p>
    <w:p w:rsidR="00C02403" w:rsidRPr="00070DD3" w:rsidRDefault="008C3385" w:rsidP="008C3385">
      <w:pPr>
        <w:tabs>
          <w:tab w:val="left" w:pos="4060"/>
        </w:tabs>
        <w:rPr>
          <w:sz w:val="22"/>
          <w:szCs w:val="22"/>
        </w:rPr>
      </w:pPr>
      <w:r>
        <w:rPr>
          <w:sz w:val="22"/>
          <w:szCs w:val="22"/>
        </w:rPr>
        <w:tab/>
      </w:r>
      <w:bookmarkStart w:id="0" w:name="_GoBack"/>
      <w:bookmarkEnd w:id="0"/>
    </w:p>
    <w:sectPr w:rsidR="00C02403" w:rsidRPr="00070DD3" w:rsidSect="005D4AD6">
      <w:pgSz w:w="12240" w:h="15840"/>
      <w:pgMar w:top="450" w:right="900" w:bottom="5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A5AC0"/>
    <w:multiLevelType w:val="hybridMultilevel"/>
    <w:tmpl w:val="9826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41B2C"/>
    <w:multiLevelType w:val="hybridMultilevel"/>
    <w:tmpl w:val="818A1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505CD"/>
    <w:multiLevelType w:val="hybridMultilevel"/>
    <w:tmpl w:val="7EF0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C502BB"/>
    <w:multiLevelType w:val="hybridMultilevel"/>
    <w:tmpl w:val="FA6A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4C"/>
    <w:rsid w:val="00070DD3"/>
    <w:rsid w:val="00080CB8"/>
    <w:rsid w:val="0018696E"/>
    <w:rsid w:val="00441A02"/>
    <w:rsid w:val="005444C0"/>
    <w:rsid w:val="00580FA4"/>
    <w:rsid w:val="005D4AD6"/>
    <w:rsid w:val="0060084C"/>
    <w:rsid w:val="00664A1B"/>
    <w:rsid w:val="006B715A"/>
    <w:rsid w:val="006C31C5"/>
    <w:rsid w:val="00861CB4"/>
    <w:rsid w:val="008C3385"/>
    <w:rsid w:val="00910D4B"/>
    <w:rsid w:val="00996481"/>
    <w:rsid w:val="00A40106"/>
    <w:rsid w:val="00A76DFB"/>
    <w:rsid w:val="00C02403"/>
    <w:rsid w:val="00C71DD4"/>
    <w:rsid w:val="00CD6023"/>
    <w:rsid w:val="00CF2EB8"/>
    <w:rsid w:val="00D02362"/>
    <w:rsid w:val="00DD2F55"/>
    <w:rsid w:val="00E03977"/>
    <w:rsid w:val="00EF3E33"/>
    <w:rsid w:val="00F7203F"/>
    <w:rsid w:val="00FD2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8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4C"/>
    <w:pPr>
      <w:ind w:left="720"/>
      <w:contextualSpacing/>
    </w:pPr>
  </w:style>
  <w:style w:type="table" w:styleId="TableGrid">
    <w:name w:val="Table Grid"/>
    <w:basedOn w:val="TableNormal"/>
    <w:uiPriority w:val="39"/>
    <w:rsid w:val="00544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44C0"/>
    <w:rPr>
      <w:color w:val="0000FF"/>
      <w:u w:val="single"/>
    </w:rPr>
  </w:style>
  <w:style w:type="character" w:styleId="FollowedHyperlink">
    <w:name w:val="FollowedHyperlink"/>
    <w:basedOn w:val="DefaultParagraphFont"/>
    <w:uiPriority w:val="99"/>
    <w:semiHidden/>
    <w:unhideWhenUsed/>
    <w:rsid w:val="006B71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nors_PLV@pac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Turco, Ms. Carol E.</cp:lastModifiedBy>
  <cp:revision>2</cp:revision>
  <dcterms:created xsi:type="dcterms:W3CDTF">2021-09-28T20:16:00Z</dcterms:created>
  <dcterms:modified xsi:type="dcterms:W3CDTF">2021-09-28T20:16:00Z</dcterms:modified>
</cp:coreProperties>
</file>